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65F0D" w14:textId="77777777" w:rsidR="00817A22" w:rsidRDefault="00817A22">
      <w:pPr>
        <w:contextualSpacing/>
      </w:pPr>
      <w:bookmarkStart w:id="0" w:name="_GoBack"/>
      <w:bookmarkEnd w:id="0"/>
      <w:r>
        <w:t>National CLAS Standards</w:t>
      </w:r>
    </w:p>
    <w:p w14:paraId="75F9425F" w14:textId="77777777" w:rsidR="00817A22" w:rsidRDefault="00817A22">
      <w:pPr>
        <w:contextualSpacing/>
      </w:pPr>
      <w:r>
        <w:t>Provided by Office of Minority Health, part of the U.S. Department of Health &amp; Human Services</w:t>
      </w:r>
    </w:p>
    <w:p w14:paraId="76742FBE" w14:textId="77777777" w:rsidR="00817A22" w:rsidRDefault="00345FC7">
      <w:pPr>
        <w:contextualSpacing/>
      </w:pPr>
      <w:hyperlink r:id="rId4" w:history="1">
        <w:r w:rsidR="00817A22">
          <w:rPr>
            <w:rStyle w:val="Hyperlink"/>
          </w:rPr>
          <w:t>https://www.thinkculturalhealth.hhs.gov/content/clas.asp</w:t>
        </w:r>
      </w:hyperlink>
    </w:p>
    <w:tbl>
      <w:tblPr>
        <w:tblW w:w="8280" w:type="dxa"/>
        <w:tblCellSpacing w:w="0" w:type="dxa"/>
        <w:tblBorders>
          <w:left w:val="single" w:sz="6" w:space="0" w:color="821503"/>
          <w:bottom w:val="single" w:sz="6" w:space="0" w:color="821503"/>
        </w:tblBorders>
        <w:tblCellMar>
          <w:left w:w="0" w:type="dxa"/>
          <w:right w:w="0" w:type="dxa"/>
        </w:tblCellMar>
        <w:tblLook w:val="04A0" w:firstRow="1" w:lastRow="0" w:firstColumn="1" w:lastColumn="0" w:noHBand="0" w:noVBand="1"/>
      </w:tblPr>
      <w:tblGrid>
        <w:gridCol w:w="8280"/>
      </w:tblGrid>
      <w:tr w:rsidR="00817A22" w:rsidRPr="00817A22" w14:paraId="7972E58A" w14:textId="77777777" w:rsidTr="00817A22">
        <w:trPr>
          <w:tblCellSpacing w:w="0" w:type="dxa"/>
        </w:trPr>
        <w:tc>
          <w:tcPr>
            <w:tcW w:w="0" w:type="auto"/>
            <w:tcBorders>
              <w:top w:val="nil"/>
              <w:left w:val="nil"/>
              <w:bottom w:val="nil"/>
              <w:right w:val="nil"/>
            </w:tcBorders>
            <w:shd w:val="clear" w:color="auto" w:fill="821503"/>
            <w:tcMar>
              <w:top w:w="90" w:type="dxa"/>
              <w:left w:w="180" w:type="dxa"/>
              <w:bottom w:w="90" w:type="dxa"/>
              <w:right w:w="90" w:type="dxa"/>
            </w:tcMar>
            <w:vAlign w:val="center"/>
            <w:hideMark/>
          </w:tcPr>
          <w:p w14:paraId="62588854" w14:textId="77777777" w:rsidR="00817A22" w:rsidRPr="00817A22" w:rsidRDefault="00817A22" w:rsidP="00817A22">
            <w:pPr>
              <w:spacing w:after="0" w:line="210" w:lineRule="atLeast"/>
              <w:rPr>
                <w:rFonts w:ascii="Verdana" w:eastAsia="Times New Roman" w:hAnsi="Verdana" w:cs="Arial"/>
                <w:b/>
                <w:bCs/>
                <w:color w:val="FFFFFF"/>
                <w:sz w:val="17"/>
                <w:szCs w:val="17"/>
              </w:rPr>
            </w:pPr>
            <w:r w:rsidRPr="00817A22">
              <w:rPr>
                <w:rFonts w:ascii="Verdana" w:eastAsia="Times New Roman" w:hAnsi="Verdana" w:cs="Arial"/>
                <w:b/>
                <w:bCs/>
                <w:color w:val="FFFFFF"/>
                <w:sz w:val="17"/>
                <w:szCs w:val="17"/>
              </w:rPr>
              <w:t>Principal Standard:</w:t>
            </w:r>
          </w:p>
        </w:tc>
      </w:tr>
      <w:tr w:rsidR="00817A22" w:rsidRPr="00817A22" w14:paraId="7E09683A" w14:textId="77777777" w:rsidTr="00817A22">
        <w:trPr>
          <w:tblCellSpacing w:w="0" w:type="dxa"/>
        </w:trPr>
        <w:tc>
          <w:tcPr>
            <w:tcW w:w="0" w:type="auto"/>
            <w:tcBorders>
              <w:top w:val="single" w:sz="6" w:space="0" w:color="821503"/>
              <w:left w:val="nil"/>
              <w:bottom w:val="nil"/>
              <w:right w:val="single" w:sz="6" w:space="0" w:color="821503"/>
            </w:tcBorders>
            <w:shd w:val="clear" w:color="auto" w:fill="FFFFCC"/>
            <w:tcMar>
              <w:top w:w="75" w:type="dxa"/>
              <w:left w:w="150" w:type="dxa"/>
              <w:bottom w:w="135" w:type="dxa"/>
              <w:right w:w="150" w:type="dxa"/>
            </w:tcMar>
            <w:hideMark/>
          </w:tcPr>
          <w:p w14:paraId="47DCD5F8" w14:textId="77777777" w:rsidR="00817A22" w:rsidRPr="00817A22" w:rsidRDefault="00817A22" w:rsidP="00817A22">
            <w:pPr>
              <w:spacing w:after="0" w:line="240" w:lineRule="auto"/>
              <w:textAlignment w:val="baseline"/>
              <w:rPr>
                <w:rFonts w:ascii="Arial" w:eastAsia="Times New Roman" w:hAnsi="Arial" w:cs="Arial"/>
                <w:color w:val="000000"/>
                <w:sz w:val="18"/>
                <w:szCs w:val="18"/>
              </w:rPr>
            </w:pPr>
            <w:r w:rsidRPr="00817A22">
              <w:rPr>
                <w:rFonts w:ascii="Arial" w:eastAsia="Times New Roman" w:hAnsi="Arial" w:cs="Arial"/>
                <w:b/>
                <w:bCs/>
                <w:color w:val="000000"/>
                <w:sz w:val="18"/>
                <w:szCs w:val="18"/>
              </w:rPr>
              <w:t>1.</w:t>
            </w:r>
            <w:r w:rsidRPr="00817A22">
              <w:rPr>
                <w:rFonts w:ascii="Arial" w:eastAsia="Times New Roman" w:hAnsi="Arial" w:cs="Arial"/>
                <w:color w:val="000000"/>
                <w:sz w:val="18"/>
                <w:szCs w:val="18"/>
              </w:rPr>
              <w:t> Provide effective, equitable, understandable, and respectful quality care and services that are responsive to diverse cultural health beliefs and practices, preferred languages, health literacy, and other communication needs.</w:t>
            </w:r>
          </w:p>
        </w:tc>
      </w:tr>
    </w:tbl>
    <w:p w14:paraId="49F070CE" w14:textId="77777777" w:rsidR="00817A22" w:rsidRPr="00817A22" w:rsidRDefault="00817A22" w:rsidP="00817A22">
      <w:pPr>
        <w:spacing w:after="0" w:line="240" w:lineRule="auto"/>
        <w:rPr>
          <w:rFonts w:ascii="Times New Roman" w:eastAsia="Times New Roman" w:hAnsi="Times New Roman" w:cs="Times New Roman"/>
          <w:vanish/>
          <w:sz w:val="24"/>
          <w:szCs w:val="24"/>
        </w:rPr>
      </w:pPr>
    </w:p>
    <w:tbl>
      <w:tblPr>
        <w:tblW w:w="8280" w:type="dxa"/>
        <w:tblCellSpacing w:w="0" w:type="dxa"/>
        <w:tblBorders>
          <w:left w:val="single" w:sz="6" w:space="0" w:color="821503"/>
          <w:bottom w:val="single" w:sz="6" w:space="0" w:color="821503"/>
        </w:tblBorders>
        <w:tblCellMar>
          <w:left w:w="0" w:type="dxa"/>
          <w:right w:w="0" w:type="dxa"/>
        </w:tblCellMar>
        <w:tblLook w:val="04A0" w:firstRow="1" w:lastRow="0" w:firstColumn="1" w:lastColumn="0" w:noHBand="0" w:noVBand="1"/>
      </w:tblPr>
      <w:tblGrid>
        <w:gridCol w:w="8280"/>
      </w:tblGrid>
      <w:tr w:rsidR="00817A22" w:rsidRPr="00817A22" w14:paraId="195774EF" w14:textId="77777777" w:rsidTr="00817A22">
        <w:trPr>
          <w:tblCellSpacing w:w="0" w:type="dxa"/>
        </w:trPr>
        <w:tc>
          <w:tcPr>
            <w:tcW w:w="0" w:type="auto"/>
            <w:tcBorders>
              <w:top w:val="nil"/>
              <w:left w:val="nil"/>
              <w:bottom w:val="nil"/>
              <w:right w:val="nil"/>
            </w:tcBorders>
            <w:shd w:val="clear" w:color="auto" w:fill="821503"/>
            <w:tcMar>
              <w:top w:w="90" w:type="dxa"/>
              <w:left w:w="180" w:type="dxa"/>
              <w:bottom w:w="90" w:type="dxa"/>
              <w:right w:w="90" w:type="dxa"/>
            </w:tcMar>
            <w:vAlign w:val="center"/>
            <w:hideMark/>
          </w:tcPr>
          <w:p w14:paraId="282472DE" w14:textId="77777777" w:rsidR="00817A22" w:rsidRPr="00817A22" w:rsidRDefault="00817A22" w:rsidP="00817A22">
            <w:pPr>
              <w:spacing w:after="0" w:line="210" w:lineRule="atLeast"/>
              <w:rPr>
                <w:rFonts w:ascii="Verdana" w:eastAsia="Times New Roman" w:hAnsi="Verdana" w:cs="Arial"/>
                <w:b/>
                <w:bCs/>
                <w:color w:val="FFFFFF"/>
                <w:sz w:val="17"/>
                <w:szCs w:val="17"/>
              </w:rPr>
            </w:pPr>
            <w:r w:rsidRPr="00817A22">
              <w:rPr>
                <w:rFonts w:ascii="Verdana" w:eastAsia="Times New Roman" w:hAnsi="Verdana" w:cs="Arial"/>
                <w:b/>
                <w:bCs/>
                <w:color w:val="FFFFFF"/>
                <w:sz w:val="17"/>
                <w:szCs w:val="17"/>
              </w:rPr>
              <w:t>Governance, Leadership and Workforce:</w:t>
            </w:r>
          </w:p>
        </w:tc>
      </w:tr>
      <w:tr w:rsidR="00817A22" w:rsidRPr="00817A22" w14:paraId="33CC0A8E" w14:textId="77777777" w:rsidTr="00817A22">
        <w:trPr>
          <w:tblCellSpacing w:w="0" w:type="dxa"/>
        </w:trPr>
        <w:tc>
          <w:tcPr>
            <w:tcW w:w="0" w:type="auto"/>
            <w:tcBorders>
              <w:top w:val="single" w:sz="6" w:space="0" w:color="821503"/>
              <w:left w:val="nil"/>
              <w:bottom w:val="nil"/>
              <w:right w:val="single" w:sz="6" w:space="0" w:color="821503"/>
            </w:tcBorders>
            <w:shd w:val="clear" w:color="auto" w:fill="FFFFCC"/>
            <w:tcMar>
              <w:top w:w="75" w:type="dxa"/>
              <w:left w:w="150" w:type="dxa"/>
              <w:bottom w:w="135" w:type="dxa"/>
              <w:right w:w="150" w:type="dxa"/>
            </w:tcMar>
            <w:hideMark/>
          </w:tcPr>
          <w:p w14:paraId="4B2DB6D6" w14:textId="77777777" w:rsidR="00817A22" w:rsidRPr="00817A22" w:rsidRDefault="00817A22" w:rsidP="00817A22">
            <w:pPr>
              <w:spacing w:after="0" w:line="240" w:lineRule="auto"/>
              <w:textAlignment w:val="baseline"/>
              <w:rPr>
                <w:rFonts w:ascii="Arial" w:eastAsia="Times New Roman" w:hAnsi="Arial" w:cs="Arial"/>
                <w:color w:val="000000"/>
                <w:sz w:val="18"/>
                <w:szCs w:val="18"/>
              </w:rPr>
            </w:pPr>
            <w:r w:rsidRPr="00817A22">
              <w:rPr>
                <w:rFonts w:ascii="Arial" w:eastAsia="Times New Roman" w:hAnsi="Arial" w:cs="Arial"/>
                <w:b/>
                <w:bCs/>
                <w:color w:val="000000"/>
                <w:sz w:val="18"/>
                <w:szCs w:val="18"/>
              </w:rPr>
              <w:t>2.</w:t>
            </w:r>
            <w:r w:rsidRPr="00817A22">
              <w:rPr>
                <w:rFonts w:ascii="Arial" w:eastAsia="Times New Roman" w:hAnsi="Arial" w:cs="Arial"/>
                <w:color w:val="000000"/>
                <w:sz w:val="18"/>
                <w:szCs w:val="18"/>
              </w:rPr>
              <w:t> Advance and sustain organizational governance and leadership that promotes CLAS and health equity through policy, practices, and allocated resources.</w:t>
            </w:r>
          </w:p>
        </w:tc>
      </w:tr>
      <w:tr w:rsidR="00817A22" w:rsidRPr="00817A22" w14:paraId="4CD97471" w14:textId="77777777" w:rsidTr="00817A22">
        <w:trPr>
          <w:tblCellSpacing w:w="0" w:type="dxa"/>
        </w:trPr>
        <w:tc>
          <w:tcPr>
            <w:tcW w:w="0" w:type="auto"/>
            <w:tcBorders>
              <w:top w:val="single" w:sz="6" w:space="0" w:color="821503"/>
              <w:left w:val="nil"/>
              <w:bottom w:val="nil"/>
              <w:right w:val="single" w:sz="6" w:space="0" w:color="821503"/>
            </w:tcBorders>
            <w:shd w:val="clear" w:color="auto" w:fill="FFFFCC"/>
            <w:tcMar>
              <w:top w:w="75" w:type="dxa"/>
              <w:left w:w="150" w:type="dxa"/>
              <w:bottom w:w="135" w:type="dxa"/>
              <w:right w:w="150" w:type="dxa"/>
            </w:tcMar>
            <w:hideMark/>
          </w:tcPr>
          <w:p w14:paraId="35BDC91F" w14:textId="77777777" w:rsidR="00817A22" w:rsidRPr="00817A22" w:rsidRDefault="00817A22" w:rsidP="00817A22">
            <w:pPr>
              <w:spacing w:after="0" w:line="240" w:lineRule="auto"/>
              <w:textAlignment w:val="baseline"/>
              <w:rPr>
                <w:rFonts w:ascii="Arial" w:eastAsia="Times New Roman" w:hAnsi="Arial" w:cs="Arial"/>
                <w:color w:val="000000"/>
                <w:sz w:val="18"/>
                <w:szCs w:val="18"/>
              </w:rPr>
            </w:pPr>
            <w:r w:rsidRPr="00817A22">
              <w:rPr>
                <w:rFonts w:ascii="Arial" w:eastAsia="Times New Roman" w:hAnsi="Arial" w:cs="Arial"/>
                <w:b/>
                <w:bCs/>
                <w:color w:val="000000"/>
                <w:sz w:val="18"/>
                <w:szCs w:val="18"/>
              </w:rPr>
              <w:t>3.</w:t>
            </w:r>
            <w:r w:rsidRPr="00817A22">
              <w:rPr>
                <w:rFonts w:ascii="Arial" w:eastAsia="Times New Roman" w:hAnsi="Arial" w:cs="Arial"/>
                <w:color w:val="000000"/>
                <w:sz w:val="18"/>
                <w:szCs w:val="18"/>
              </w:rPr>
              <w:t> Recruit, promote, and support a culturally and linguistically diverse governance, leadership, and workforce that are responsive to the population in the service area.</w:t>
            </w:r>
          </w:p>
        </w:tc>
      </w:tr>
      <w:tr w:rsidR="00817A22" w:rsidRPr="00817A22" w14:paraId="4D0E0424" w14:textId="77777777" w:rsidTr="00817A22">
        <w:trPr>
          <w:tblCellSpacing w:w="0" w:type="dxa"/>
        </w:trPr>
        <w:tc>
          <w:tcPr>
            <w:tcW w:w="0" w:type="auto"/>
            <w:tcBorders>
              <w:top w:val="single" w:sz="6" w:space="0" w:color="821503"/>
              <w:left w:val="nil"/>
              <w:bottom w:val="nil"/>
              <w:right w:val="single" w:sz="6" w:space="0" w:color="821503"/>
            </w:tcBorders>
            <w:shd w:val="clear" w:color="auto" w:fill="FFFFCC"/>
            <w:tcMar>
              <w:top w:w="75" w:type="dxa"/>
              <w:left w:w="150" w:type="dxa"/>
              <w:bottom w:w="135" w:type="dxa"/>
              <w:right w:w="150" w:type="dxa"/>
            </w:tcMar>
            <w:hideMark/>
          </w:tcPr>
          <w:p w14:paraId="4D54E625" w14:textId="77777777" w:rsidR="00817A22" w:rsidRPr="00817A22" w:rsidRDefault="00817A22" w:rsidP="00817A22">
            <w:pPr>
              <w:spacing w:after="0" w:line="240" w:lineRule="auto"/>
              <w:textAlignment w:val="baseline"/>
              <w:rPr>
                <w:rFonts w:ascii="Arial" w:eastAsia="Times New Roman" w:hAnsi="Arial" w:cs="Arial"/>
                <w:color w:val="000000"/>
                <w:sz w:val="18"/>
                <w:szCs w:val="18"/>
              </w:rPr>
            </w:pPr>
            <w:r w:rsidRPr="00817A22">
              <w:rPr>
                <w:rFonts w:ascii="Arial" w:eastAsia="Times New Roman" w:hAnsi="Arial" w:cs="Arial"/>
                <w:b/>
                <w:bCs/>
                <w:color w:val="000000"/>
                <w:sz w:val="18"/>
                <w:szCs w:val="18"/>
              </w:rPr>
              <w:t>4.</w:t>
            </w:r>
            <w:r w:rsidRPr="00817A22">
              <w:rPr>
                <w:rFonts w:ascii="Arial" w:eastAsia="Times New Roman" w:hAnsi="Arial" w:cs="Arial"/>
                <w:color w:val="000000"/>
                <w:sz w:val="18"/>
                <w:szCs w:val="18"/>
              </w:rPr>
              <w:t> Educate and train governance, leadership, and workforce in culturally and linguistically appropriate policies and practices on an ongoing basis.</w:t>
            </w:r>
          </w:p>
        </w:tc>
      </w:tr>
    </w:tbl>
    <w:p w14:paraId="2DC1A5BB" w14:textId="77777777" w:rsidR="00817A22" w:rsidRPr="00817A22" w:rsidRDefault="00817A22" w:rsidP="00817A22">
      <w:pPr>
        <w:spacing w:after="0" w:line="240" w:lineRule="auto"/>
        <w:rPr>
          <w:rFonts w:ascii="Times New Roman" w:eastAsia="Times New Roman" w:hAnsi="Times New Roman" w:cs="Times New Roman"/>
          <w:vanish/>
          <w:sz w:val="24"/>
          <w:szCs w:val="24"/>
        </w:rPr>
      </w:pPr>
    </w:p>
    <w:tbl>
      <w:tblPr>
        <w:tblW w:w="8280" w:type="dxa"/>
        <w:tblCellSpacing w:w="0" w:type="dxa"/>
        <w:tblBorders>
          <w:left w:val="single" w:sz="6" w:space="0" w:color="821503"/>
          <w:bottom w:val="single" w:sz="6" w:space="0" w:color="821503"/>
        </w:tblBorders>
        <w:tblCellMar>
          <w:left w:w="0" w:type="dxa"/>
          <w:right w:w="0" w:type="dxa"/>
        </w:tblCellMar>
        <w:tblLook w:val="04A0" w:firstRow="1" w:lastRow="0" w:firstColumn="1" w:lastColumn="0" w:noHBand="0" w:noVBand="1"/>
      </w:tblPr>
      <w:tblGrid>
        <w:gridCol w:w="8280"/>
      </w:tblGrid>
      <w:tr w:rsidR="00817A22" w:rsidRPr="00817A22" w14:paraId="07EDB9A2" w14:textId="77777777" w:rsidTr="00817A22">
        <w:trPr>
          <w:tblCellSpacing w:w="0" w:type="dxa"/>
        </w:trPr>
        <w:tc>
          <w:tcPr>
            <w:tcW w:w="0" w:type="auto"/>
            <w:tcBorders>
              <w:top w:val="nil"/>
              <w:left w:val="nil"/>
              <w:bottom w:val="nil"/>
              <w:right w:val="nil"/>
            </w:tcBorders>
            <w:shd w:val="clear" w:color="auto" w:fill="821503"/>
            <w:tcMar>
              <w:top w:w="90" w:type="dxa"/>
              <w:left w:w="180" w:type="dxa"/>
              <w:bottom w:w="90" w:type="dxa"/>
              <w:right w:w="90" w:type="dxa"/>
            </w:tcMar>
            <w:vAlign w:val="center"/>
            <w:hideMark/>
          </w:tcPr>
          <w:p w14:paraId="78FFC9CD" w14:textId="77777777" w:rsidR="00817A22" w:rsidRPr="00817A22" w:rsidRDefault="00817A22" w:rsidP="00817A22">
            <w:pPr>
              <w:spacing w:after="0" w:line="210" w:lineRule="atLeast"/>
              <w:rPr>
                <w:rFonts w:ascii="Verdana" w:eastAsia="Times New Roman" w:hAnsi="Verdana" w:cs="Arial"/>
                <w:b/>
                <w:bCs/>
                <w:color w:val="FFFFFF"/>
                <w:sz w:val="17"/>
                <w:szCs w:val="17"/>
              </w:rPr>
            </w:pPr>
            <w:r w:rsidRPr="00817A22">
              <w:rPr>
                <w:rFonts w:ascii="Verdana" w:eastAsia="Times New Roman" w:hAnsi="Verdana" w:cs="Arial"/>
                <w:b/>
                <w:bCs/>
                <w:color w:val="FFFFFF"/>
                <w:sz w:val="17"/>
                <w:szCs w:val="17"/>
              </w:rPr>
              <w:t>Communication and Language Assistance:</w:t>
            </w:r>
          </w:p>
        </w:tc>
      </w:tr>
      <w:tr w:rsidR="00817A22" w:rsidRPr="00817A22" w14:paraId="36C2BC7B" w14:textId="77777777" w:rsidTr="00817A22">
        <w:trPr>
          <w:tblCellSpacing w:w="0" w:type="dxa"/>
        </w:trPr>
        <w:tc>
          <w:tcPr>
            <w:tcW w:w="0" w:type="auto"/>
            <w:tcBorders>
              <w:top w:val="single" w:sz="6" w:space="0" w:color="821503"/>
              <w:left w:val="nil"/>
              <w:bottom w:val="nil"/>
              <w:right w:val="single" w:sz="6" w:space="0" w:color="821503"/>
            </w:tcBorders>
            <w:shd w:val="clear" w:color="auto" w:fill="FFFFCC"/>
            <w:tcMar>
              <w:top w:w="75" w:type="dxa"/>
              <w:left w:w="150" w:type="dxa"/>
              <w:bottom w:w="135" w:type="dxa"/>
              <w:right w:w="150" w:type="dxa"/>
            </w:tcMar>
            <w:hideMark/>
          </w:tcPr>
          <w:p w14:paraId="45F72E94" w14:textId="77777777" w:rsidR="00817A22" w:rsidRPr="00817A22" w:rsidRDefault="00817A22" w:rsidP="00817A22">
            <w:pPr>
              <w:spacing w:after="0" w:line="240" w:lineRule="auto"/>
              <w:textAlignment w:val="baseline"/>
              <w:rPr>
                <w:rFonts w:ascii="Arial" w:eastAsia="Times New Roman" w:hAnsi="Arial" w:cs="Arial"/>
                <w:color w:val="000000"/>
                <w:sz w:val="18"/>
                <w:szCs w:val="18"/>
              </w:rPr>
            </w:pPr>
            <w:r w:rsidRPr="00817A22">
              <w:rPr>
                <w:rFonts w:ascii="Arial" w:eastAsia="Times New Roman" w:hAnsi="Arial" w:cs="Arial"/>
                <w:b/>
                <w:bCs/>
                <w:color w:val="000000"/>
                <w:sz w:val="18"/>
                <w:szCs w:val="18"/>
              </w:rPr>
              <w:t>5.</w:t>
            </w:r>
            <w:r w:rsidRPr="00817A22">
              <w:rPr>
                <w:rFonts w:ascii="Arial" w:eastAsia="Times New Roman" w:hAnsi="Arial" w:cs="Arial"/>
                <w:color w:val="000000"/>
                <w:sz w:val="18"/>
                <w:szCs w:val="18"/>
              </w:rPr>
              <w:t> Offer language assistance to individuals who have limited English proficiency and/or other communication needs, at no cost to them, to facilitate timely access to all health care and services.</w:t>
            </w:r>
          </w:p>
        </w:tc>
      </w:tr>
      <w:tr w:rsidR="00817A22" w:rsidRPr="00817A22" w14:paraId="223BA637" w14:textId="77777777" w:rsidTr="00817A22">
        <w:trPr>
          <w:tblCellSpacing w:w="0" w:type="dxa"/>
        </w:trPr>
        <w:tc>
          <w:tcPr>
            <w:tcW w:w="0" w:type="auto"/>
            <w:tcBorders>
              <w:top w:val="single" w:sz="6" w:space="0" w:color="821503"/>
              <w:left w:val="nil"/>
              <w:bottom w:val="nil"/>
              <w:right w:val="single" w:sz="6" w:space="0" w:color="821503"/>
            </w:tcBorders>
            <w:shd w:val="clear" w:color="auto" w:fill="FFFFCC"/>
            <w:tcMar>
              <w:top w:w="75" w:type="dxa"/>
              <w:left w:w="150" w:type="dxa"/>
              <w:bottom w:w="135" w:type="dxa"/>
              <w:right w:w="150" w:type="dxa"/>
            </w:tcMar>
            <w:hideMark/>
          </w:tcPr>
          <w:p w14:paraId="67C596EB" w14:textId="77777777" w:rsidR="00817A22" w:rsidRPr="00817A22" w:rsidRDefault="00817A22" w:rsidP="00817A22">
            <w:pPr>
              <w:spacing w:after="0" w:line="240" w:lineRule="auto"/>
              <w:textAlignment w:val="baseline"/>
              <w:rPr>
                <w:rFonts w:ascii="Arial" w:eastAsia="Times New Roman" w:hAnsi="Arial" w:cs="Arial"/>
                <w:color w:val="000000"/>
                <w:sz w:val="18"/>
                <w:szCs w:val="18"/>
              </w:rPr>
            </w:pPr>
            <w:r w:rsidRPr="00817A22">
              <w:rPr>
                <w:rFonts w:ascii="Arial" w:eastAsia="Times New Roman" w:hAnsi="Arial" w:cs="Arial"/>
                <w:b/>
                <w:bCs/>
                <w:color w:val="000000"/>
                <w:sz w:val="18"/>
                <w:szCs w:val="18"/>
              </w:rPr>
              <w:t>6.</w:t>
            </w:r>
            <w:r w:rsidRPr="00817A22">
              <w:rPr>
                <w:rFonts w:ascii="Arial" w:eastAsia="Times New Roman" w:hAnsi="Arial" w:cs="Arial"/>
                <w:color w:val="000000"/>
                <w:sz w:val="18"/>
                <w:szCs w:val="18"/>
              </w:rPr>
              <w:t> Inform all individuals of the availability of language assistance services clearly and in their preferred language, verbally and in writing.</w:t>
            </w:r>
          </w:p>
        </w:tc>
      </w:tr>
      <w:tr w:rsidR="00817A22" w:rsidRPr="00817A22" w14:paraId="550DD8B4" w14:textId="77777777" w:rsidTr="00817A22">
        <w:trPr>
          <w:tblCellSpacing w:w="0" w:type="dxa"/>
        </w:trPr>
        <w:tc>
          <w:tcPr>
            <w:tcW w:w="0" w:type="auto"/>
            <w:tcBorders>
              <w:top w:val="single" w:sz="6" w:space="0" w:color="821503"/>
              <w:left w:val="nil"/>
              <w:bottom w:val="nil"/>
              <w:right w:val="single" w:sz="6" w:space="0" w:color="821503"/>
            </w:tcBorders>
            <w:shd w:val="clear" w:color="auto" w:fill="FFFFCC"/>
            <w:tcMar>
              <w:top w:w="75" w:type="dxa"/>
              <w:left w:w="150" w:type="dxa"/>
              <w:bottom w:w="135" w:type="dxa"/>
              <w:right w:w="150" w:type="dxa"/>
            </w:tcMar>
            <w:hideMark/>
          </w:tcPr>
          <w:p w14:paraId="65645496" w14:textId="77777777" w:rsidR="00817A22" w:rsidRPr="00817A22" w:rsidRDefault="00817A22" w:rsidP="00817A22">
            <w:pPr>
              <w:spacing w:after="0" w:line="240" w:lineRule="auto"/>
              <w:textAlignment w:val="baseline"/>
              <w:rPr>
                <w:rFonts w:ascii="Arial" w:eastAsia="Times New Roman" w:hAnsi="Arial" w:cs="Arial"/>
                <w:color w:val="000000"/>
                <w:sz w:val="18"/>
                <w:szCs w:val="18"/>
              </w:rPr>
            </w:pPr>
            <w:r w:rsidRPr="00817A22">
              <w:rPr>
                <w:rFonts w:ascii="Arial" w:eastAsia="Times New Roman" w:hAnsi="Arial" w:cs="Arial"/>
                <w:b/>
                <w:bCs/>
                <w:color w:val="000000"/>
                <w:sz w:val="18"/>
                <w:szCs w:val="18"/>
              </w:rPr>
              <w:t>7.</w:t>
            </w:r>
            <w:r w:rsidRPr="00817A22">
              <w:rPr>
                <w:rFonts w:ascii="Arial" w:eastAsia="Times New Roman" w:hAnsi="Arial" w:cs="Arial"/>
                <w:color w:val="000000"/>
                <w:sz w:val="18"/>
                <w:szCs w:val="18"/>
              </w:rPr>
              <w:t> Ensure the competence of individuals providing language assistance, recognizing that the use of untrained individuals and/or minors as interpreters should be avoided.</w:t>
            </w:r>
          </w:p>
        </w:tc>
      </w:tr>
      <w:tr w:rsidR="00817A22" w:rsidRPr="00817A22" w14:paraId="0E353A12" w14:textId="77777777" w:rsidTr="00817A22">
        <w:trPr>
          <w:tblCellSpacing w:w="0" w:type="dxa"/>
        </w:trPr>
        <w:tc>
          <w:tcPr>
            <w:tcW w:w="0" w:type="auto"/>
            <w:tcBorders>
              <w:top w:val="single" w:sz="6" w:space="0" w:color="821503"/>
              <w:left w:val="nil"/>
              <w:bottom w:val="nil"/>
              <w:right w:val="single" w:sz="6" w:space="0" w:color="821503"/>
            </w:tcBorders>
            <w:shd w:val="clear" w:color="auto" w:fill="FFFFCC"/>
            <w:tcMar>
              <w:top w:w="75" w:type="dxa"/>
              <w:left w:w="150" w:type="dxa"/>
              <w:bottom w:w="135" w:type="dxa"/>
              <w:right w:w="150" w:type="dxa"/>
            </w:tcMar>
            <w:hideMark/>
          </w:tcPr>
          <w:p w14:paraId="0F3F65E8" w14:textId="77777777" w:rsidR="00817A22" w:rsidRPr="00817A22" w:rsidRDefault="00817A22" w:rsidP="00817A22">
            <w:pPr>
              <w:spacing w:after="0" w:line="240" w:lineRule="auto"/>
              <w:textAlignment w:val="baseline"/>
              <w:rPr>
                <w:rFonts w:ascii="Arial" w:eastAsia="Times New Roman" w:hAnsi="Arial" w:cs="Arial"/>
                <w:color w:val="000000"/>
                <w:sz w:val="18"/>
                <w:szCs w:val="18"/>
              </w:rPr>
            </w:pPr>
            <w:r w:rsidRPr="00817A22">
              <w:rPr>
                <w:rFonts w:ascii="Arial" w:eastAsia="Times New Roman" w:hAnsi="Arial" w:cs="Arial"/>
                <w:b/>
                <w:bCs/>
                <w:color w:val="000000"/>
                <w:sz w:val="18"/>
                <w:szCs w:val="18"/>
              </w:rPr>
              <w:t>8.</w:t>
            </w:r>
            <w:r w:rsidRPr="00817A22">
              <w:rPr>
                <w:rFonts w:ascii="Arial" w:eastAsia="Times New Roman" w:hAnsi="Arial" w:cs="Arial"/>
                <w:color w:val="000000"/>
                <w:sz w:val="18"/>
                <w:szCs w:val="18"/>
              </w:rPr>
              <w:t> Provide easy-to-understand print and multimedia materials and signage in the languages commonly used by the populations in the service area.</w:t>
            </w:r>
          </w:p>
        </w:tc>
      </w:tr>
    </w:tbl>
    <w:p w14:paraId="2B016E47" w14:textId="77777777" w:rsidR="00817A22" w:rsidRPr="00817A22" w:rsidRDefault="00817A22" w:rsidP="00817A22">
      <w:pPr>
        <w:spacing w:after="0" w:line="240" w:lineRule="auto"/>
        <w:rPr>
          <w:rFonts w:ascii="Times New Roman" w:eastAsia="Times New Roman" w:hAnsi="Times New Roman" w:cs="Times New Roman"/>
          <w:vanish/>
          <w:sz w:val="24"/>
          <w:szCs w:val="24"/>
        </w:rPr>
      </w:pPr>
    </w:p>
    <w:tbl>
      <w:tblPr>
        <w:tblW w:w="8280" w:type="dxa"/>
        <w:tblCellSpacing w:w="0" w:type="dxa"/>
        <w:tblBorders>
          <w:left w:val="single" w:sz="6" w:space="0" w:color="821503"/>
          <w:bottom w:val="single" w:sz="6" w:space="0" w:color="821503"/>
        </w:tblBorders>
        <w:tblCellMar>
          <w:left w:w="0" w:type="dxa"/>
          <w:right w:w="0" w:type="dxa"/>
        </w:tblCellMar>
        <w:tblLook w:val="04A0" w:firstRow="1" w:lastRow="0" w:firstColumn="1" w:lastColumn="0" w:noHBand="0" w:noVBand="1"/>
      </w:tblPr>
      <w:tblGrid>
        <w:gridCol w:w="8280"/>
      </w:tblGrid>
      <w:tr w:rsidR="00817A22" w:rsidRPr="00817A22" w14:paraId="4ED0F63A" w14:textId="77777777" w:rsidTr="00817A22">
        <w:trPr>
          <w:tblCellSpacing w:w="0" w:type="dxa"/>
        </w:trPr>
        <w:tc>
          <w:tcPr>
            <w:tcW w:w="0" w:type="auto"/>
            <w:tcBorders>
              <w:top w:val="nil"/>
              <w:left w:val="nil"/>
              <w:bottom w:val="nil"/>
              <w:right w:val="nil"/>
            </w:tcBorders>
            <w:shd w:val="clear" w:color="auto" w:fill="821503"/>
            <w:tcMar>
              <w:top w:w="90" w:type="dxa"/>
              <w:left w:w="180" w:type="dxa"/>
              <w:bottom w:w="90" w:type="dxa"/>
              <w:right w:w="90" w:type="dxa"/>
            </w:tcMar>
            <w:vAlign w:val="center"/>
            <w:hideMark/>
          </w:tcPr>
          <w:p w14:paraId="70F053EF" w14:textId="77777777" w:rsidR="00817A22" w:rsidRPr="00817A22" w:rsidRDefault="00817A22" w:rsidP="00817A22">
            <w:pPr>
              <w:spacing w:after="0" w:line="210" w:lineRule="atLeast"/>
              <w:rPr>
                <w:rFonts w:ascii="Verdana" w:eastAsia="Times New Roman" w:hAnsi="Verdana" w:cs="Arial"/>
                <w:b/>
                <w:bCs/>
                <w:color w:val="FFFFFF"/>
                <w:sz w:val="17"/>
                <w:szCs w:val="17"/>
              </w:rPr>
            </w:pPr>
            <w:r w:rsidRPr="00817A22">
              <w:rPr>
                <w:rFonts w:ascii="Verdana" w:eastAsia="Times New Roman" w:hAnsi="Verdana" w:cs="Arial"/>
                <w:b/>
                <w:bCs/>
                <w:color w:val="FFFFFF"/>
                <w:sz w:val="17"/>
                <w:szCs w:val="17"/>
              </w:rPr>
              <w:t>Engagement, Continuous Improvement, and Accountability:</w:t>
            </w:r>
          </w:p>
        </w:tc>
      </w:tr>
      <w:tr w:rsidR="00817A22" w:rsidRPr="00817A22" w14:paraId="58A667DD" w14:textId="77777777" w:rsidTr="00817A22">
        <w:trPr>
          <w:tblCellSpacing w:w="0" w:type="dxa"/>
        </w:trPr>
        <w:tc>
          <w:tcPr>
            <w:tcW w:w="0" w:type="auto"/>
            <w:tcBorders>
              <w:top w:val="single" w:sz="6" w:space="0" w:color="821503"/>
              <w:left w:val="nil"/>
              <w:bottom w:val="nil"/>
              <w:right w:val="single" w:sz="6" w:space="0" w:color="821503"/>
            </w:tcBorders>
            <w:shd w:val="clear" w:color="auto" w:fill="FFFFCC"/>
            <w:tcMar>
              <w:top w:w="75" w:type="dxa"/>
              <w:left w:w="150" w:type="dxa"/>
              <w:bottom w:w="135" w:type="dxa"/>
              <w:right w:w="150" w:type="dxa"/>
            </w:tcMar>
            <w:hideMark/>
          </w:tcPr>
          <w:p w14:paraId="4182F965" w14:textId="77777777" w:rsidR="00817A22" w:rsidRPr="00817A22" w:rsidRDefault="00817A22" w:rsidP="00817A22">
            <w:pPr>
              <w:spacing w:after="0" w:line="240" w:lineRule="auto"/>
              <w:textAlignment w:val="baseline"/>
              <w:rPr>
                <w:rFonts w:ascii="Arial" w:eastAsia="Times New Roman" w:hAnsi="Arial" w:cs="Arial"/>
                <w:color w:val="000000"/>
                <w:sz w:val="18"/>
                <w:szCs w:val="18"/>
              </w:rPr>
            </w:pPr>
            <w:r w:rsidRPr="00817A22">
              <w:rPr>
                <w:rFonts w:ascii="Arial" w:eastAsia="Times New Roman" w:hAnsi="Arial" w:cs="Arial"/>
                <w:b/>
                <w:bCs/>
                <w:color w:val="000000"/>
                <w:sz w:val="18"/>
                <w:szCs w:val="18"/>
              </w:rPr>
              <w:t>9.</w:t>
            </w:r>
            <w:r w:rsidRPr="00817A22">
              <w:rPr>
                <w:rFonts w:ascii="Arial" w:eastAsia="Times New Roman" w:hAnsi="Arial" w:cs="Arial"/>
                <w:color w:val="000000"/>
                <w:sz w:val="18"/>
                <w:szCs w:val="18"/>
              </w:rPr>
              <w:t> Establish culturally and linguistically appropriate goals, policies, and management accountability, and infuse them throughout the organization's planning and operations.</w:t>
            </w:r>
          </w:p>
        </w:tc>
      </w:tr>
      <w:tr w:rsidR="00817A22" w:rsidRPr="00817A22" w14:paraId="1D51BCC3" w14:textId="77777777" w:rsidTr="00817A22">
        <w:trPr>
          <w:tblCellSpacing w:w="0" w:type="dxa"/>
        </w:trPr>
        <w:tc>
          <w:tcPr>
            <w:tcW w:w="0" w:type="auto"/>
            <w:tcBorders>
              <w:top w:val="single" w:sz="6" w:space="0" w:color="821503"/>
              <w:left w:val="nil"/>
              <w:bottom w:val="nil"/>
              <w:right w:val="single" w:sz="6" w:space="0" w:color="821503"/>
            </w:tcBorders>
            <w:shd w:val="clear" w:color="auto" w:fill="FFFFCC"/>
            <w:tcMar>
              <w:top w:w="75" w:type="dxa"/>
              <w:left w:w="150" w:type="dxa"/>
              <w:bottom w:w="135" w:type="dxa"/>
              <w:right w:w="150" w:type="dxa"/>
            </w:tcMar>
            <w:hideMark/>
          </w:tcPr>
          <w:p w14:paraId="02EB70C4" w14:textId="77777777" w:rsidR="00817A22" w:rsidRPr="00817A22" w:rsidRDefault="00817A22" w:rsidP="00817A22">
            <w:pPr>
              <w:spacing w:after="0" w:line="240" w:lineRule="auto"/>
              <w:textAlignment w:val="baseline"/>
              <w:rPr>
                <w:rFonts w:ascii="Arial" w:eastAsia="Times New Roman" w:hAnsi="Arial" w:cs="Arial"/>
                <w:color w:val="000000"/>
                <w:sz w:val="18"/>
                <w:szCs w:val="18"/>
              </w:rPr>
            </w:pPr>
            <w:r w:rsidRPr="00817A22">
              <w:rPr>
                <w:rFonts w:ascii="Arial" w:eastAsia="Times New Roman" w:hAnsi="Arial" w:cs="Arial"/>
                <w:b/>
                <w:bCs/>
                <w:color w:val="000000"/>
                <w:sz w:val="18"/>
                <w:szCs w:val="18"/>
              </w:rPr>
              <w:t>10.</w:t>
            </w:r>
            <w:r w:rsidRPr="00817A22">
              <w:rPr>
                <w:rFonts w:ascii="Arial" w:eastAsia="Times New Roman" w:hAnsi="Arial" w:cs="Arial"/>
                <w:color w:val="000000"/>
                <w:sz w:val="18"/>
                <w:szCs w:val="18"/>
              </w:rPr>
              <w:t> Conduct ongoing assessments of the organization's CLAS-related activities and integrate CLAS-related measures into measurement and continuous quality improvement activities.</w:t>
            </w:r>
          </w:p>
        </w:tc>
      </w:tr>
      <w:tr w:rsidR="00817A22" w:rsidRPr="00817A22" w14:paraId="55D84721" w14:textId="77777777" w:rsidTr="00817A22">
        <w:trPr>
          <w:tblCellSpacing w:w="0" w:type="dxa"/>
        </w:trPr>
        <w:tc>
          <w:tcPr>
            <w:tcW w:w="0" w:type="auto"/>
            <w:tcBorders>
              <w:top w:val="single" w:sz="6" w:space="0" w:color="821503"/>
              <w:left w:val="nil"/>
              <w:bottom w:val="nil"/>
              <w:right w:val="single" w:sz="6" w:space="0" w:color="821503"/>
            </w:tcBorders>
            <w:shd w:val="clear" w:color="auto" w:fill="FFFFCC"/>
            <w:tcMar>
              <w:top w:w="75" w:type="dxa"/>
              <w:left w:w="150" w:type="dxa"/>
              <w:bottom w:w="135" w:type="dxa"/>
              <w:right w:w="150" w:type="dxa"/>
            </w:tcMar>
            <w:hideMark/>
          </w:tcPr>
          <w:p w14:paraId="63C3491A" w14:textId="77777777" w:rsidR="00817A22" w:rsidRPr="00817A22" w:rsidRDefault="00817A22" w:rsidP="00817A22">
            <w:pPr>
              <w:spacing w:after="0" w:line="240" w:lineRule="auto"/>
              <w:textAlignment w:val="baseline"/>
              <w:rPr>
                <w:rFonts w:ascii="Arial" w:eastAsia="Times New Roman" w:hAnsi="Arial" w:cs="Arial"/>
                <w:color w:val="000000"/>
                <w:sz w:val="18"/>
                <w:szCs w:val="18"/>
              </w:rPr>
            </w:pPr>
            <w:r w:rsidRPr="00817A22">
              <w:rPr>
                <w:rFonts w:ascii="Arial" w:eastAsia="Times New Roman" w:hAnsi="Arial" w:cs="Arial"/>
                <w:b/>
                <w:bCs/>
                <w:color w:val="000000"/>
                <w:sz w:val="18"/>
                <w:szCs w:val="18"/>
              </w:rPr>
              <w:t>11.</w:t>
            </w:r>
            <w:r w:rsidRPr="00817A22">
              <w:rPr>
                <w:rFonts w:ascii="Arial" w:eastAsia="Times New Roman" w:hAnsi="Arial" w:cs="Arial"/>
                <w:color w:val="000000"/>
                <w:sz w:val="18"/>
                <w:szCs w:val="18"/>
              </w:rPr>
              <w:t> Collect and maintain accurate and reliable demographic data to monitor and evaluate the impact of CLAS on health equity and outcomes and to inform service delivery.</w:t>
            </w:r>
          </w:p>
        </w:tc>
      </w:tr>
      <w:tr w:rsidR="00817A22" w:rsidRPr="00817A22" w14:paraId="24F6C70A" w14:textId="77777777" w:rsidTr="00817A22">
        <w:trPr>
          <w:tblCellSpacing w:w="0" w:type="dxa"/>
        </w:trPr>
        <w:tc>
          <w:tcPr>
            <w:tcW w:w="0" w:type="auto"/>
            <w:tcBorders>
              <w:top w:val="single" w:sz="6" w:space="0" w:color="821503"/>
              <w:left w:val="nil"/>
              <w:bottom w:val="nil"/>
              <w:right w:val="single" w:sz="6" w:space="0" w:color="821503"/>
            </w:tcBorders>
            <w:shd w:val="clear" w:color="auto" w:fill="FFFFCC"/>
            <w:tcMar>
              <w:top w:w="75" w:type="dxa"/>
              <w:left w:w="150" w:type="dxa"/>
              <w:bottom w:w="135" w:type="dxa"/>
              <w:right w:w="150" w:type="dxa"/>
            </w:tcMar>
            <w:hideMark/>
          </w:tcPr>
          <w:p w14:paraId="652DB146" w14:textId="77777777" w:rsidR="00817A22" w:rsidRPr="00817A22" w:rsidRDefault="00817A22" w:rsidP="00817A22">
            <w:pPr>
              <w:spacing w:after="0" w:line="240" w:lineRule="auto"/>
              <w:textAlignment w:val="baseline"/>
              <w:rPr>
                <w:rFonts w:ascii="Arial" w:eastAsia="Times New Roman" w:hAnsi="Arial" w:cs="Arial"/>
                <w:color w:val="000000"/>
                <w:sz w:val="18"/>
                <w:szCs w:val="18"/>
              </w:rPr>
            </w:pPr>
            <w:r w:rsidRPr="00817A22">
              <w:rPr>
                <w:rFonts w:ascii="Arial" w:eastAsia="Times New Roman" w:hAnsi="Arial" w:cs="Arial"/>
                <w:b/>
                <w:bCs/>
                <w:color w:val="000000"/>
                <w:sz w:val="18"/>
                <w:szCs w:val="18"/>
              </w:rPr>
              <w:t>12.</w:t>
            </w:r>
            <w:r w:rsidRPr="00817A22">
              <w:rPr>
                <w:rFonts w:ascii="Arial" w:eastAsia="Times New Roman" w:hAnsi="Arial" w:cs="Arial"/>
                <w:color w:val="000000"/>
                <w:sz w:val="18"/>
                <w:szCs w:val="18"/>
              </w:rPr>
              <w:t> Conduct regular assessments of community health assets and needs and use the results to plan and implement services that respond to the cultural and linguistic diversity of populations in the service area.</w:t>
            </w:r>
          </w:p>
        </w:tc>
      </w:tr>
      <w:tr w:rsidR="00817A22" w:rsidRPr="00817A22" w14:paraId="3ADD6551" w14:textId="77777777" w:rsidTr="00817A22">
        <w:trPr>
          <w:tblCellSpacing w:w="0" w:type="dxa"/>
        </w:trPr>
        <w:tc>
          <w:tcPr>
            <w:tcW w:w="0" w:type="auto"/>
            <w:tcBorders>
              <w:top w:val="single" w:sz="6" w:space="0" w:color="821503"/>
              <w:left w:val="nil"/>
              <w:bottom w:val="nil"/>
              <w:right w:val="single" w:sz="6" w:space="0" w:color="821503"/>
            </w:tcBorders>
            <w:shd w:val="clear" w:color="auto" w:fill="FFFFCC"/>
            <w:tcMar>
              <w:top w:w="75" w:type="dxa"/>
              <w:left w:w="150" w:type="dxa"/>
              <w:bottom w:w="135" w:type="dxa"/>
              <w:right w:w="150" w:type="dxa"/>
            </w:tcMar>
            <w:hideMark/>
          </w:tcPr>
          <w:p w14:paraId="2A3E80BC" w14:textId="77777777" w:rsidR="00817A22" w:rsidRPr="00817A22" w:rsidRDefault="00817A22" w:rsidP="00817A22">
            <w:pPr>
              <w:spacing w:after="0" w:line="240" w:lineRule="auto"/>
              <w:textAlignment w:val="baseline"/>
              <w:rPr>
                <w:rFonts w:ascii="Arial" w:eastAsia="Times New Roman" w:hAnsi="Arial" w:cs="Arial"/>
                <w:color w:val="000000"/>
                <w:sz w:val="18"/>
                <w:szCs w:val="18"/>
              </w:rPr>
            </w:pPr>
            <w:r w:rsidRPr="00817A22">
              <w:rPr>
                <w:rFonts w:ascii="Arial" w:eastAsia="Times New Roman" w:hAnsi="Arial" w:cs="Arial"/>
                <w:b/>
                <w:bCs/>
                <w:color w:val="000000"/>
                <w:sz w:val="18"/>
                <w:szCs w:val="18"/>
              </w:rPr>
              <w:t>13.</w:t>
            </w:r>
            <w:r w:rsidRPr="00817A22">
              <w:rPr>
                <w:rFonts w:ascii="Arial" w:eastAsia="Times New Roman" w:hAnsi="Arial" w:cs="Arial"/>
                <w:color w:val="000000"/>
                <w:sz w:val="18"/>
                <w:szCs w:val="18"/>
              </w:rPr>
              <w:t> Partner with the community to design, implement, and evaluate policies, practices, and services to ensure cultural and linguistic appropriateness.</w:t>
            </w:r>
          </w:p>
        </w:tc>
      </w:tr>
      <w:tr w:rsidR="00817A22" w:rsidRPr="00817A22" w14:paraId="306E893F" w14:textId="77777777" w:rsidTr="00817A22">
        <w:trPr>
          <w:tblCellSpacing w:w="0" w:type="dxa"/>
        </w:trPr>
        <w:tc>
          <w:tcPr>
            <w:tcW w:w="0" w:type="auto"/>
            <w:tcBorders>
              <w:top w:val="single" w:sz="6" w:space="0" w:color="821503"/>
              <w:left w:val="nil"/>
              <w:bottom w:val="nil"/>
              <w:right w:val="single" w:sz="6" w:space="0" w:color="821503"/>
            </w:tcBorders>
            <w:shd w:val="clear" w:color="auto" w:fill="FFFFCC"/>
            <w:tcMar>
              <w:top w:w="75" w:type="dxa"/>
              <w:left w:w="150" w:type="dxa"/>
              <w:bottom w:w="135" w:type="dxa"/>
              <w:right w:w="150" w:type="dxa"/>
            </w:tcMar>
            <w:hideMark/>
          </w:tcPr>
          <w:p w14:paraId="5A84B708" w14:textId="77777777" w:rsidR="00817A22" w:rsidRPr="00817A22" w:rsidRDefault="00817A22" w:rsidP="00817A22">
            <w:pPr>
              <w:spacing w:after="0" w:line="240" w:lineRule="auto"/>
              <w:textAlignment w:val="baseline"/>
              <w:rPr>
                <w:rFonts w:ascii="Arial" w:eastAsia="Times New Roman" w:hAnsi="Arial" w:cs="Arial"/>
                <w:color w:val="000000"/>
                <w:sz w:val="18"/>
                <w:szCs w:val="18"/>
              </w:rPr>
            </w:pPr>
            <w:r w:rsidRPr="00817A22">
              <w:rPr>
                <w:rFonts w:ascii="Arial" w:eastAsia="Times New Roman" w:hAnsi="Arial" w:cs="Arial"/>
                <w:b/>
                <w:bCs/>
                <w:color w:val="000000"/>
                <w:sz w:val="18"/>
                <w:szCs w:val="18"/>
              </w:rPr>
              <w:t>14.</w:t>
            </w:r>
            <w:r w:rsidRPr="00817A22">
              <w:rPr>
                <w:rFonts w:ascii="Arial" w:eastAsia="Times New Roman" w:hAnsi="Arial" w:cs="Arial"/>
                <w:color w:val="000000"/>
                <w:sz w:val="18"/>
                <w:szCs w:val="18"/>
              </w:rPr>
              <w:t> Create conflict and grievance resolution processes that are culturally and linguistically appropriate to identify, prevent, and resolve conflicts or complaints.</w:t>
            </w:r>
          </w:p>
        </w:tc>
      </w:tr>
      <w:tr w:rsidR="00817A22" w:rsidRPr="00817A22" w14:paraId="16D66AA8" w14:textId="77777777" w:rsidTr="00817A22">
        <w:trPr>
          <w:tblCellSpacing w:w="0" w:type="dxa"/>
        </w:trPr>
        <w:tc>
          <w:tcPr>
            <w:tcW w:w="0" w:type="auto"/>
            <w:tcBorders>
              <w:top w:val="single" w:sz="6" w:space="0" w:color="821503"/>
              <w:left w:val="nil"/>
              <w:bottom w:val="nil"/>
              <w:right w:val="single" w:sz="6" w:space="0" w:color="821503"/>
            </w:tcBorders>
            <w:shd w:val="clear" w:color="auto" w:fill="FFFFCC"/>
            <w:tcMar>
              <w:top w:w="75" w:type="dxa"/>
              <w:left w:w="150" w:type="dxa"/>
              <w:bottom w:w="135" w:type="dxa"/>
              <w:right w:w="150" w:type="dxa"/>
            </w:tcMar>
            <w:hideMark/>
          </w:tcPr>
          <w:p w14:paraId="1B93F979" w14:textId="77777777" w:rsidR="00817A22" w:rsidRPr="00817A22" w:rsidRDefault="00817A22" w:rsidP="00817A22">
            <w:pPr>
              <w:spacing w:after="0" w:line="240" w:lineRule="auto"/>
              <w:textAlignment w:val="baseline"/>
              <w:rPr>
                <w:rFonts w:ascii="Arial" w:eastAsia="Times New Roman" w:hAnsi="Arial" w:cs="Arial"/>
                <w:color w:val="000000"/>
                <w:sz w:val="18"/>
                <w:szCs w:val="18"/>
              </w:rPr>
            </w:pPr>
            <w:r w:rsidRPr="00817A22">
              <w:rPr>
                <w:rFonts w:ascii="Arial" w:eastAsia="Times New Roman" w:hAnsi="Arial" w:cs="Arial"/>
                <w:b/>
                <w:bCs/>
                <w:color w:val="000000"/>
                <w:sz w:val="18"/>
                <w:szCs w:val="18"/>
              </w:rPr>
              <w:t>15.</w:t>
            </w:r>
            <w:r w:rsidRPr="00817A22">
              <w:rPr>
                <w:rFonts w:ascii="Arial" w:eastAsia="Times New Roman" w:hAnsi="Arial" w:cs="Arial"/>
                <w:color w:val="000000"/>
                <w:sz w:val="18"/>
                <w:szCs w:val="18"/>
              </w:rPr>
              <w:t> Communicate the organization's progress in implementing and sustaining CLAS to all stakeholders, constituents, and the general public.</w:t>
            </w:r>
          </w:p>
        </w:tc>
      </w:tr>
    </w:tbl>
    <w:p w14:paraId="3AC65E63" w14:textId="77777777" w:rsidR="004A0C62" w:rsidRDefault="004A0C62" w:rsidP="00817A22"/>
    <w:sectPr w:rsidR="004A0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22"/>
    <w:rsid w:val="00345FC7"/>
    <w:rsid w:val="004A0C62"/>
    <w:rsid w:val="00817A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1EF5"/>
  <w15:chartTrackingRefBased/>
  <w15:docId w15:val="{6C0767D6-810B-4D01-99E7-53769C7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7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6389">
      <w:bodyDiv w:val="1"/>
      <w:marLeft w:val="0"/>
      <w:marRight w:val="0"/>
      <w:marTop w:val="0"/>
      <w:marBottom w:val="0"/>
      <w:divBdr>
        <w:top w:val="none" w:sz="0" w:space="0" w:color="auto"/>
        <w:left w:val="none" w:sz="0" w:space="0" w:color="auto"/>
        <w:bottom w:val="none" w:sz="0" w:space="0" w:color="auto"/>
        <w:right w:val="none" w:sz="0" w:space="0" w:color="auto"/>
      </w:divBdr>
      <w:divsChild>
        <w:div w:id="89662661">
          <w:marLeft w:val="0"/>
          <w:marRight w:val="0"/>
          <w:marTop w:val="0"/>
          <w:marBottom w:val="0"/>
          <w:divBdr>
            <w:top w:val="none" w:sz="0" w:space="0" w:color="auto"/>
            <w:left w:val="none" w:sz="0" w:space="0" w:color="auto"/>
            <w:bottom w:val="none" w:sz="0" w:space="0" w:color="auto"/>
            <w:right w:val="none" w:sz="0" w:space="0" w:color="auto"/>
          </w:divBdr>
        </w:div>
        <w:div w:id="597635695">
          <w:marLeft w:val="0"/>
          <w:marRight w:val="0"/>
          <w:marTop w:val="0"/>
          <w:marBottom w:val="0"/>
          <w:divBdr>
            <w:top w:val="none" w:sz="0" w:space="0" w:color="auto"/>
            <w:left w:val="none" w:sz="0" w:space="0" w:color="auto"/>
            <w:bottom w:val="none" w:sz="0" w:space="0" w:color="auto"/>
            <w:right w:val="none" w:sz="0" w:space="0" w:color="auto"/>
          </w:divBdr>
        </w:div>
        <w:div w:id="1561133662">
          <w:marLeft w:val="0"/>
          <w:marRight w:val="0"/>
          <w:marTop w:val="0"/>
          <w:marBottom w:val="0"/>
          <w:divBdr>
            <w:top w:val="none" w:sz="0" w:space="0" w:color="auto"/>
            <w:left w:val="none" w:sz="0" w:space="0" w:color="auto"/>
            <w:bottom w:val="none" w:sz="0" w:space="0" w:color="auto"/>
            <w:right w:val="none" w:sz="0" w:space="0" w:color="auto"/>
          </w:divBdr>
        </w:div>
        <w:div w:id="1690448691">
          <w:marLeft w:val="0"/>
          <w:marRight w:val="0"/>
          <w:marTop w:val="0"/>
          <w:marBottom w:val="0"/>
          <w:divBdr>
            <w:top w:val="none" w:sz="0" w:space="0" w:color="auto"/>
            <w:left w:val="none" w:sz="0" w:space="0" w:color="auto"/>
            <w:bottom w:val="none" w:sz="0" w:space="0" w:color="auto"/>
            <w:right w:val="none" w:sz="0" w:space="0" w:color="auto"/>
          </w:divBdr>
        </w:div>
        <w:div w:id="1274020116">
          <w:marLeft w:val="0"/>
          <w:marRight w:val="0"/>
          <w:marTop w:val="0"/>
          <w:marBottom w:val="0"/>
          <w:divBdr>
            <w:top w:val="none" w:sz="0" w:space="0" w:color="auto"/>
            <w:left w:val="none" w:sz="0" w:space="0" w:color="auto"/>
            <w:bottom w:val="none" w:sz="0" w:space="0" w:color="auto"/>
            <w:right w:val="none" w:sz="0" w:space="0" w:color="auto"/>
          </w:divBdr>
        </w:div>
        <w:div w:id="1425497353">
          <w:marLeft w:val="0"/>
          <w:marRight w:val="0"/>
          <w:marTop w:val="0"/>
          <w:marBottom w:val="0"/>
          <w:divBdr>
            <w:top w:val="none" w:sz="0" w:space="0" w:color="auto"/>
            <w:left w:val="none" w:sz="0" w:space="0" w:color="auto"/>
            <w:bottom w:val="none" w:sz="0" w:space="0" w:color="auto"/>
            <w:right w:val="none" w:sz="0" w:space="0" w:color="auto"/>
          </w:divBdr>
        </w:div>
        <w:div w:id="1121920765">
          <w:marLeft w:val="0"/>
          <w:marRight w:val="0"/>
          <w:marTop w:val="0"/>
          <w:marBottom w:val="0"/>
          <w:divBdr>
            <w:top w:val="none" w:sz="0" w:space="0" w:color="auto"/>
            <w:left w:val="none" w:sz="0" w:space="0" w:color="auto"/>
            <w:bottom w:val="none" w:sz="0" w:space="0" w:color="auto"/>
            <w:right w:val="none" w:sz="0" w:space="0" w:color="auto"/>
          </w:divBdr>
        </w:div>
        <w:div w:id="1132600779">
          <w:marLeft w:val="0"/>
          <w:marRight w:val="0"/>
          <w:marTop w:val="0"/>
          <w:marBottom w:val="0"/>
          <w:divBdr>
            <w:top w:val="none" w:sz="0" w:space="0" w:color="auto"/>
            <w:left w:val="none" w:sz="0" w:space="0" w:color="auto"/>
            <w:bottom w:val="none" w:sz="0" w:space="0" w:color="auto"/>
            <w:right w:val="none" w:sz="0" w:space="0" w:color="auto"/>
          </w:divBdr>
        </w:div>
        <w:div w:id="1973754925">
          <w:marLeft w:val="0"/>
          <w:marRight w:val="0"/>
          <w:marTop w:val="0"/>
          <w:marBottom w:val="0"/>
          <w:divBdr>
            <w:top w:val="none" w:sz="0" w:space="0" w:color="auto"/>
            <w:left w:val="none" w:sz="0" w:space="0" w:color="auto"/>
            <w:bottom w:val="none" w:sz="0" w:space="0" w:color="auto"/>
            <w:right w:val="none" w:sz="0" w:space="0" w:color="auto"/>
          </w:divBdr>
        </w:div>
        <w:div w:id="1858233276">
          <w:marLeft w:val="0"/>
          <w:marRight w:val="0"/>
          <w:marTop w:val="0"/>
          <w:marBottom w:val="0"/>
          <w:divBdr>
            <w:top w:val="none" w:sz="0" w:space="0" w:color="auto"/>
            <w:left w:val="none" w:sz="0" w:space="0" w:color="auto"/>
            <w:bottom w:val="none" w:sz="0" w:space="0" w:color="auto"/>
            <w:right w:val="none" w:sz="0" w:space="0" w:color="auto"/>
          </w:divBdr>
        </w:div>
        <w:div w:id="1105811490">
          <w:marLeft w:val="0"/>
          <w:marRight w:val="0"/>
          <w:marTop w:val="0"/>
          <w:marBottom w:val="0"/>
          <w:divBdr>
            <w:top w:val="none" w:sz="0" w:space="0" w:color="auto"/>
            <w:left w:val="none" w:sz="0" w:space="0" w:color="auto"/>
            <w:bottom w:val="none" w:sz="0" w:space="0" w:color="auto"/>
            <w:right w:val="none" w:sz="0" w:space="0" w:color="auto"/>
          </w:divBdr>
        </w:div>
        <w:div w:id="793132200">
          <w:marLeft w:val="0"/>
          <w:marRight w:val="0"/>
          <w:marTop w:val="0"/>
          <w:marBottom w:val="0"/>
          <w:divBdr>
            <w:top w:val="none" w:sz="0" w:space="0" w:color="auto"/>
            <w:left w:val="none" w:sz="0" w:space="0" w:color="auto"/>
            <w:bottom w:val="none" w:sz="0" w:space="0" w:color="auto"/>
            <w:right w:val="none" w:sz="0" w:space="0" w:color="auto"/>
          </w:divBdr>
        </w:div>
        <w:div w:id="419759492">
          <w:marLeft w:val="0"/>
          <w:marRight w:val="0"/>
          <w:marTop w:val="0"/>
          <w:marBottom w:val="0"/>
          <w:divBdr>
            <w:top w:val="none" w:sz="0" w:space="0" w:color="auto"/>
            <w:left w:val="none" w:sz="0" w:space="0" w:color="auto"/>
            <w:bottom w:val="none" w:sz="0" w:space="0" w:color="auto"/>
            <w:right w:val="none" w:sz="0" w:space="0" w:color="auto"/>
          </w:divBdr>
        </w:div>
        <w:div w:id="538325976">
          <w:marLeft w:val="0"/>
          <w:marRight w:val="0"/>
          <w:marTop w:val="0"/>
          <w:marBottom w:val="0"/>
          <w:divBdr>
            <w:top w:val="none" w:sz="0" w:space="0" w:color="auto"/>
            <w:left w:val="none" w:sz="0" w:space="0" w:color="auto"/>
            <w:bottom w:val="none" w:sz="0" w:space="0" w:color="auto"/>
            <w:right w:val="none" w:sz="0" w:space="0" w:color="auto"/>
          </w:divBdr>
        </w:div>
        <w:div w:id="1961377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thinkculturalhealth.hhs.gov/content/clas.asp"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Pagani</dc:creator>
  <cp:keywords/>
  <dc:description/>
  <cp:lastModifiedBy>Microsoft Office User</cp:lastModifiedBy>
  <cp:revision>2</cp:revision>
  <dcterms:created xsi:type="dcterms:W3CDTF">2017-12-20T20:06:00Z</dcterms:created>
  <dcterms:modified xsi:type="dcterms:W3CDTF">2017-12-20T20:06:00Z</dcterms:modified>
</cp:coreProperties>
</file>